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rFonts w:ascii="Aptos" w:hAnsi="Aptos"/>
          <w:b/>
          <w:color w:val="07111F"/>
          <w:sz w:val="50"/>
        </w:rPr>
        <w:t>Arc-Fi &amp; LeadArc</w:t>
        <w:br/>
        <w:t>Verified Frequently Asked Questions</w:t>
      </w:r>
    </w:p>
    <w:p>
      <w:pPr>
        <w:spacing w:after="320"/>
        <w:jc w:val="center"/>
      </w:pPr>
      <w:r>
        <w:rPr>
          <w:rFonts w:ascii="Aptos" w:hAnsi="Aptos"/>
          <w:color w:val="52637A"/>
          <w:sz w:val="21"/>
        </w:rPr>
        <w:t>Products · cycles · withdrawals · calculator · support</w:t>
      </w:r>
    </w:p>
    <w:p>
      <w:pPr>
        <w:spacing w:before="360" w:after="140"/>
      </w:pPr>
      <w:r>
        <w:rPr>
          <w:rFonts w:ascii="Aptos" w:hAnsi="Aptos"/>
          <w:b/>
          <w:color w:val="07111F"/>
          <w:sz w:val="38"/>
        </w:rPr>
        <w:t>Quick reference</w:t>
      </w:r>
    </w:p>
    <w:tbl>
      <w:tblPr>
        <w:tblStyle w:val="TableGrid"/>
        <w:tblW w:type="auto" w:w="0"/>
        <w:jc w:val="center"/>
        <w:tblLook w:firstColumn="1" w:firstRow="1" w:lastColumn="0" w:lastRow="0" w:noHBand="0" w:noVBand="1" w:val="04A0"/>
      </w:tblPr>
      <w:tblGrid>
        <w:gridCol w:w="5083"/>
        <w:gridCol w:w="5083"/>
      </w:tblGrid>
      <w:tr>
        <w:tc>
          <w:tcPr>
            <w:tcW w:type="dxa" w:w="5083"/>
            <w:shd w:fill="07111F"/>
            <w:tcMar>
              <w:top w:w="120" w:type="dxa"/>
              <w:start w:w="140" w:type="dxa"/>
              <w:bottom w:w="120" w:type="dxa"/>
              <w:end w:w="140" w:type="dxa"/>
            </w:tcMar>
          </w:tcPr>
          <w:p>
            <w:r>
              <w:rPr>
                <w:rFonts w:ascii="Aptos" w:hAnsi="Aptos"/>
                <w:b/>
                <w:color w:val="FFFFFF"/>
                <w:sz w:val="19"/>
              </w:rPr>
              <w:t>Topic</w:t>
            </w:r>
          </w:p>
        </w:tc>
        <w:tc>
          <w:tcPr>
            <w:tcW w:type="dxa" w:w="5083"/>
            <w:shd w:fill="07111F"/>
            <w:tcMar>
              <w:top w:w="120" w:type="dxa"/>
              <w:start w:w="140" w:type="dxa"/>
              <w:bottom w:w="120" w:type="dxa"/>
              <w:end w:w="140" w:type="dxa"/>
            </w:tcMar>
          </w:tcPr>
          <w:p>
            <w:r>
              <w:rPr>
                <w:rFonts w:ascii="Aptos" w:hAnsi="Aptos"/>
                <w:b/>
                <w:color w:val="FFFFFF"/>
                <w:sz w:val="19"/>
              </w:rPr>
              <w:t>Verified guidance</w:t>
            </w:r>
          </w:p>
        </w:tc>
      </w:tr>
      <w:tr>
        <w:tc>
          <w:tcPr>
            <w:tcW w:type="dxa" w:w="5083"/>
            <w:tcMar>
              <w:top w:w="120" w:type="dxa"/>
              <w:start w:w="140" w:type="dxa"/>
              <w:bottom w:w="120" w:type="dxa"/>
              <w:end w:w="140" w:type="dxa"/>
            </w:tcMar>
            <w:vAlign w:val="center"/>
          </w:tcPr>
          <w:p>
            <w:r>
              <w:rPr>
                <w:rFonts w:ascii="Aptos" w:hAnsi="Aptos"/>
                <w:b/>
                <w:color w:val="07111F"/>
                <w:sz w:val="19"/>
              </w:rPr>
              <w:t>AURA-01</w:t>
            </w:r>
          </w:p>
        </w:tc>
        <w:tc>
          <w:tcPr>
            <w:tcW w:type="dxa" w:w="5083"/>
            <w:tcMar>
              <w:top w:w="120" w:type="dxa"/>
              <w:start w:w="140" w:type="dxa"/>
              <w:bottom w:w="120" w:type="dxa"/>
              <w:end w:w="140" w:type="dxa"/>
            </w:tcMar>
            <w:vAlign w:val="center"/>
          </w:tcPr>
          <w:p>
            <w:r>
              <w:rPr>
                <w:rFonts w:ascii="Aptos" w:hAnsi="Aptos"/>
                <w:color w:val="14233A"/>
                <w:sz w:val="19"/>
              </w:rPr>
              <w:t>Automated-agent option with a stated $100 entry minimum. Automated agents operate Monday through Saturday.</w:t>
            </w:r>
          </w:p>
        </w:tc>
      </w:tr>
      <w:tr>
        <w:tc>
          <w:tcPr>
            <w:tcW w:type="dxa" w:w="5083"/>
            <w:tcMar>
              <w:top w:w="120" w:type="dxa"/>
              <w:start w:w="140" w:type="dxa"/>
              <w:bottom w:w="120" w:type="dxa"/>
              <w:end w:w="140" w:type="dxa"/>
            </w:tcMar>
            <w:vAlign w:val="center"/>
          </w:tcPr>
          <w:p>
            <w:r>
              <w:rPr>
                <w:rFonts w:ascii="Aptos" w:hAnsi="Aptos"/>
                <w:b/>
                <w:color w:val="07111F"/>
                <w:sz w:val="19"/>
              </w:rPr>
              <w:t>NEURA-X</w:t>
            </w:r>
          </w:p>
        </w:tc>
        <w:tc>
          <w:tcPr>
            <w:tcW w:type="dxa" w:w="5083"/>
            <w:tcMar>
              <w:top w:w="120" w:type="dxa"/>
              <w:start w:w="140" w:type="dxa"/>
              <w:bottom w:w="120" w:type="dxa"/>
              <w:end w:w="140" w:type="dxa"/>
            </w:tcMar>
            <w:vAlign w:val="center"/>
          </w:tcPr>
          <w:p>
            <w:r>
              <w:rPr>
                <w:rFonts w:ascii="Aptos" w:hAnsi="Aptos"/>
                <w:color w:val="14233A"/>
                <w:sz w:val="19"/>
              </w:rPr>
              <w:t>Automated-agent option with a stated $5,000 entry minimum. Automated agents operate Monday through Saturday.</w:t>
            </w:r>
          </w:p>
        </w:tc>
      </w:tr>
      <w:tr>
        <w:tc>
          <w:tcPr>
            <w:tcW w:type="dxa" w:w="5083"/>
            <w:tcMar>
              <w:top w:w="120" w:type="dxa"/>
              <w:start w:w="140" w:type="dxa"/>
              <w:bottom w:w="120" w:type="dxa"/>
              <w:end w:w="140" w:type="dxa"/>
            </w:tcMar>
            <w:vAlign w:val="center"/>
          </w:tcPr>
          <w:p>
            <w:r>
              <w:rPr>
                <w:rFonts w:ascii="Aptos" w:hAnsi="Aptos"/>
                <w:b/>
                <w:color w:val="07111F"/>
                <w:sz w:val="19"/>
              </w:rPr>
              <w:t>VORTEX-9</w:t>
            </w:r>
          </w:p>
        </w:tc>
        <w:tc>
          <w:tcPr>
            <w:tcW w:type="dxa" w:w="5083"/>
            <w:tcMar>
              <w:top w:w="120" w:type="dxa"/>
              <w:start w:w="140" w:type="dxa"/>
              <w:bottom w:w="120" w:type="dxa"/>
              <w:end w:w="140" w:type="dxa"/>
            </w:tcMar>
            <w:vAlign w:val="center"/>
          </w:tcPr>
          <w:p>
            <w:r>
              <w:rPr>
                <w:rFonts w:ascii="Aptos" w:hAnsi="Aptos"/>
                <w:color w:val="14233A"/>
                <w:sz w:val="19"/>
              </w:rPr>
              <w:t>Automated-agent option with a stated $12,000 entry minimum. Automated agents operate Monday through Saturday.</w:t>
            </w:r>
          </w:p>
        </w:tc>
      </w:tr>
      <w:tr>
        <w:tc>
          <w:tcPr>
            <w:tcW w:type="dxa" w:w="5083"/>
            <w:tcMar>
              <w:top w:w="120" w:type="dxa"/>
              <w:start w:w="140" w:type="dxa"/>
              <w:bottom w:w="120" w:type="dxa"/>
              <w:end w:w="140" w:type="dxa"/>
            </w:tcMar>
            <w:vAlign w:val="center"/>
          </w:tcPr>
          <w:p>
            <w:r>
              <w:rPr>
                <w:rFonts w:ascii="Aptos" w:hAnsi="Aptos"/>
                <w:b/>
                <w:color w:val="07111F"/>
                <w:sz w:val="19"/>
              </w:rPr>
              <w:t>Signal Pro</w:t>
            </w:r>
          </w:p>
        </w:tc>
        <w:tc>
          <w:tcPr>
            <w:tcW w:type="dxa" w:w="5083"/>
            <w:tcMar>
              <w:top w:w="120" w:type="dxa"/>
              <w:start w:w="140" w:type="dxa"/>
              <w:bottom w:w="120" w:type="dxa"/>
              <w:end w:w="140" w:type="dxa"/>
            </w:tcMar>
            <w:vAlign w:val="center"/>
          </w:tcPr>
          <w:p>
            <w:r>
              <w:rPr>
                <w:rFonts w:ascii="Aptos" w:hAnsi="Aptos"/>
                <w:color w:val="14233A"/>
                <w:sz w:val="19"/>
              </w:rPr>
              <w:t>Member-directed signal experience. Signals may be available daily, including Sunday; availability and outcomes vary.</w:t>
            </w:r>
          </w:p>
        </w:tc>
      </w:tr>
      <w:tr>
        <w:tc>
          <w:tcPr>
            <w:tcW w:type="dxa" w:w="5083"/>
            <w:tcMar>
              <w:top w:w="120" w:type="dxa"/>
              <w:start w:w="140" w:type="dxa"/>
              <w:bottom w:w="120" w:type="dxa"/>
              <w:end w:w="140" w:type="dxa"/>
            </w:tcMar>
            <w:vAlign w:val="center"/>
          </w:tcPr>
          <w:p>
            <w:r>
              <w:rPr>
                <w:rFonts w:ascii="Aptos" w:hAnsi="Aptos"/>
                <w:b/>
                <w:color w:val="07111F"/>
                <w:sz w:val="19"/>
              </w:rPr>
              <w:t>Cycles and withdrawals</w:t>
            </w:r>
          </w:p>
        </w:tc>
        <w:tc>
          <w:tcPr>
            <w:tcW w:type="dxa" w:w="5083"/>
            <w:tcMar>
              <w:top w:w="120" w:type="dxa"/>
              <w:start w:w="140" w:type="dxa"/>
              <w:bottom w:w="120" w:type="dxa"/>
              <w:end w:w="140" w:type="dxa"/>
            </w:tcMar>
            <w:vAlign w:val="center"/>
          </w:tcPr>
          <w:p>
            <w:r>
              <w:rPr>
                <w:rFonts w:ascii="Aptos" w:hAnsi="Aptos"/>
                <w:color w:val="14233A"/>
                <w:sz w:val="19"/>
              </w:rPr>
              <w:t>You choose your cycle length. A withdrawal can be requested any time: 5% fee after the cycle ends and 35% before it ends.</w:t>
            </w:r>
          </w:p>
        </w:tc>
      </w:tr>
      <w:tr>
        <w:tc>
          <w:tcPr>
            <w:tcW w:type="dxa" w:w="5083"/>
            <w:tcMar>
              <w:top w:w="120" w:type="dxa"/>
              <w:start w:w="140" w:type="dxa"/>
              <w:bottom w:w="120" w:type="dxa"/>
              <w:end w:w="140" w:type="dxa"/>
            </w:tcMar>
            <w:vAlign w:val="center"/>
          </w:tcPr>
          <w:p>
            <w:r>
              <w:rPr>
                <w:rFonts w:ascii="Aptos" w:hAnsi="Aptos"/>
                <w:b/>
                <w:color w:val="07111F"/>
                <w:sz w:val="19"/>
              </w:rPr>
              <w:t>Compound Calculator</w:t>
            </w:r>
          </w:p>
        </w:tc>
        <w:tc>
          <w:tcPr>
            <w:tcW w:type="dxa" w:w="5083"/>
            <w:tcMar>
              <w:top w:w="120" w:type="dxa"/>
              <w:start w:w="140" w:type="dxa"/>
              <w:bottom w:w="120" w:type="dxa"/>
              <w:end w:w="140" w:type="dxa"/>
            </w:tcMar>
            <w:vAlign w:val="center"/>
          </w:tcPr>
          <w:p>
            <w:r>
              <w:rPr>
                <w:rFonts w:ascii="Aptos" w:hAnsi="Aptos"/>
                <w:color w:val="14233A"/>
                <w:sz w:val="19"/>
              </w:rPr>
              <w:t>Shows user-selected illustrative scenarios. Currency selection formats display values only; it does not perform exchange conversion.</w:t>
            </w:r>
          </w:p>
        </w:tc>
      </w:tr>
      <w:tr>
        <w:tc>
          <w:tcPr>
            <w:tcW w:type="dxa" w:w="5083"/>
            <w:tcMar>
              <w:top w:w="120" w:type="dxa"/>
              <w:start w:w="140" w:type="dxa"/>
              <w:bottom w:w="120" w:type="dxa"/>
              <w:end w:w="140" w:type="dxa"/>
            </w:tcMar>
            <w:vAlign w:val="center"/>
          </w:tcPr>
          <w:p>
            <w:r>
              <w:rPr>
                <w:rFonts w:ascii="Aptos" w:hAnsi="Aptos"/>
                <w:b/>
                <w:color w:val="07111F"/>
                <w:sz w:val="19"/>
              </w:rPr>
              <w:t>Support</w:t>
            </w:r>
          </w:p>
        </w:tc>
        <w:tc>
          <w:tcPr>
            <w:tcW w:type="dxa" w:w="5083"/>
            <w:tcMar>
              <w:top w:w="120" w:type="dxa"/>
              <w:start w:w="140" w:type="dxa"/>
              <w:bottom w:w="120" w:type="dxa"/>
              <w:end w:w="140" w:type="dxa"/>
            </w:tcMar>
            <w:vAlign w:val="center"/>
          </w:tcPr>
          <w:p>
            <w:r>
              <w:rPr>
                <w:rFonts w:ascii="Aptos" w:hAnsi="Aptos"/>
                <w:color w:val="14233A"/>
                <w:sz w:val="19"/>
              </w:rPr>
              <w:t>Open Telegram and search for @arcfi_support_bot. Direct customer care: clientscare@arc-fi.ai.</w:t>
            </w:r>
          </w:p>
        </w:tc>
      </w:tr>
    </w:tbl>
    <w:p>
      <w:pPr>
        <w:spacing w:before="360" w:after="140"/>
      </w:pPr>
      <w:r>
        <w:rPr>
          <w:rFonts w:ascii="Aptos" w:hAnsi="Aptos"/>
          <w:b/>
          <w:color w:val="07111F"/>
          <w:sz w:val="38"/>
        </w:rPr>
        <w:t>Arc-Fi products</w:t>
      </w:r>
    </w:p>
    <w:p>
      <w:pPr>
        <w:spacing w:before="180" w:after="80"/>
      </w:pPr>
      <w:r>
        <w:rPr>
          <w:rFonts w:ascii="Aptos" w:hAnsi="Aptos"/>
          <w:b/>
          <w:color w:val="07111F"/>
          <w:sz w:val="23"/>
        </w:rPr>
        <w:t>What is Arc-Fi?</w:t>
      </w:r>
    </w:p>
    <w:p>
      <w:pPr>
        <w:spacing w:after="140" w:line="283" w:lineRule="auto"/>
        <w:ind w:left="230"/>
      </w:pPr>
      <w:r>
        <w:rPr>
          <w:rFonts w:ascii="Aptos" w:hAnsi="Aptos"/>
          <w:color w:val="14233A"/>
          <w:sz w:val="21"/>
        </w:rPr>
        <w:t>Arc-Fi provides product information, platform resources, and customer-care pathways for its automated-agent and Signal Pro offerings.</w:t>
      </w:r>
    </w:p>
    <w:p>
      <w:pPr>
        <w:spacing w:before="180" w:after="80"/>
      </w:pPr>
      <w:r>
        <w:rPr>
          <w:rFonts w:ascii="Aptos" w:hAnsi="Aptos"/>
          <w:b/>
          <w:color w:val="07111F"/>
          <w:sz w:val="23"/>
        </w:rPr>
        <w:t>What are AURA-01, NEURA-X, and VORTEX-9?</w:t>
      </w:r>
    </w:p>
    <w:p>
      <w:pPr>
        <w:spacing w:after="140" w:line="283" w:lineRule="auto"/>
        <w:ind w:left="230"/>
      </w:pPr>
      <w:r>
        <w:rPr>
          <w:rFonts w:ascii="Aptos" w:hAnsi="Aptos"/>
          <w:color w:val="14233A"/>
          <w:sz w:val="21"/>
        </w:rPr>
        <w:t>They are Arc-Fi automated-agent options. The stated entry minimums are $100 for AURA-01, $5,000 for NEURA-X, and $12,000 for VORTEX-9. Review the current product information and terms before deciding.</w:t>
      </w:r>
    </w:p>
    <w:p>
      <w:pPr>
        <w:spacing w:before="180" w:after="80"/>
      </w:pPr>
      <w:r>
        <w:rPr>
          <w:rFonts w:ascii="Aptos" w:hAnsi="Aptos"/>
          <w:b/>
          <w:color w:val="07111F"/>
          <w:sz w:val="23"/>
        </w:rPr>
        <w:t>When do automated agents operate?</w:t>
      </w:r>
    </w:p>
    <w:p>
      <w:pPr>
        <w:spacing w:after="140" w:line="283" w:lineRule="auto"/>
        <w:ind w:left="230"/>
      </w:pPr>
      <w:r>
        <w:rPr>
          <w:rFonts w:ascii="Aptos" w:hAnsi="Aptos"/>
          <w:color w:val="14233A"/>
          <w:sz w:val="21"/>
        </w:rPr>
        <w:t>Arc-Fi describes automated-agent activity as Monday through Saturday. Sunday is not an automated-agent trading day. Availability, execution, and outcomes can vary.</w:t>
      </w:r>
    </w:p>
    <w:p>
      <w:pPr>
        <w:spacing w:before="180" w:after="80"/>
      </w:pPr>
      <w:r>
        <w:rPr>
          <w:rFonts w:ascii="Aptos" w:hAnsi="Aptos"/>
          <w:b/>
          <w:color w:val="07111F"/>
          <w:sz w:val="23"/>
        </w:rPr>
        <w:t>What is Signal Pro?</w:t>
      </w:r>
    </w:p>
    <w:p>
      <w:pPr>
        <w:spacing w:after="140" w:line="283" w:lineRule="auto"/>
        <w:ind w:left="230"/>
      </w:pPr>
      <w:r>
        <w:rPr>
          <w:rFonts w:ascii="Aptos" w:hAnsi="Aptos"/>
          <w:color w:val="14233A"/>
          <w:sz w:val="21"/>
        </w:rPr>
        <w:t>Signal Pro is a member-directed signal experience. Members can review available signals and decide whether to act. Signals may be available daily, including Sunday, but availability, timing, execution, and outcomes can vary.</w:t>
      </w:r>
    </w:p>
    <w:p>
      <w:pPr>
        <w:spacing w:before="180" w:after="80"/>
      </w:pPr>
      <w:r>
        <w:rPr>
          <w:rFonts w:ascii="Aptos" w:hAnsi="Aptos"/>
          <w:b/>
          <w:color w:val="07111F"/>
          <w:sz w:val="23"/>
        </w:rPr>
        <w:t>How should I interpret performance information?</w:t>
      </w:r>
    </w:p>
    <w:p>
      <w:pPr>
        <w:spacing w:after="140" w:line="283" w:lineRule="auto"/>
        <w:ind w:left="230"/>
      </w:pPr>
      <w:r>
        <w:rPr>
          <w:rFonts w:ascii="Aptos" w:hAnsi="Aptos"/>
          <w:color w:val="14233A"/>
          <w:sz w:val="21"/>
        </w:rPr>
        <w:t>Review the Performance page for labelled historical information and its stated source context. Historical information is not a prediction or promise of future performance.</w:t>
      </w:r>
    </w:p>
    <w:p>
      <w:pPr>
        <w:spacing w:before="360" w:after="140"/>
      </w:pPr>
      <w:r>
        <w:rPr>
          <w:rFonts w:ascii="Aptos" w:hAnsi="Aptos"/>
          <w:b/>
          <w:color w:val="07111F"/>
          <w:sz w:val="38"/>
        </w:rPr>
        <w:t>Cycles and withdrawals</w:t>
      </w:r>
    </w:p>
    <w:p>
      <w:pPr>
        <w:spacing w:before="180" w:after="80"/>
      </w:pPr>
      <w:r>
        <w:rPr>
          <w:rFonts w:ascii="Aptos" w:hAnsi="Aptos"/>
          <w:b/>
          <w:color w:val="07111F"/>
          <w:sz w:val="23"/>
        </w:rPr>
        <w:t>Can I choose a cycle length?</w:t>
      </w:r>
    </w:p>
    <w:p>
      <w:pPr>
        <w:spacing w:after="140" w:line="283" w:lineRule="auto"/>
        <w:ind w:left="230"/>
      </w:pPr>
      <w:r>
        <w:rPr>
          <w:rFonts w:ascii="Aptos" w:hAnsi="Aptos"/>
          <w:color w:val="14233A"/>
          <w:sz w:val="21"/>
        </w:rPr>
        <w:t>Yes. You can choose your own cycle length. The available cycle options, product terms, and capital-access conditions shown in the platform apply.</w:t>
      </w:r>
    </w:p>
    <w:p>
      <w:pPr>
        <w:spacing w:before="180" w:after="80"/>
      </w:pPr>
      <w:r>
        <w:rPr>
          <w:rFonts w:ascii="Aptos" w:hAnsi="Aptos"/>
          <w:b/>
          <w:color w:val="07111F"/>
          <w:sz w:val="23"/>
        </w:rPr>
        <w:t>How do withdrawal requests work?</w:t>
      </w:r>
    </w:p>
    <w:p>
      <w:pPr>
        <w:spacing w:after="140" w:line="283" w:lineRule="auto"/>
        <w:ind w:left="230"/>
      </w:pPr>
      <w:r>
        <w:rPr>
          <w:rFonts w:ascii="Aptos" w:hAnsi="Aptos"/>
          <w:color w:val="14233A"/>
          <w:sz w:val="21"/>
        </w:rPr>
        <w:t>Withdrawal requests are typically processed within 1–3 business days, subject to applicable terms, account review, and the details of the request. This is not a guaranteed service-level time frame.</w:t>
      </w:r>
    </w:p>
    <w:p>
      <w:pPr>
        <w:spacing w:before="180" w:after="80"/>
      </w:pPr>
      <w:r>
        <w:rPr>
          <w:rFonts w:ascii="Aptos" w:hAnsi="Aptos"/>
          <w:b/>
          <w:color w:val="07111F"/>
          <w:sz w:val="23"/>
        </w:rPr>
        <w:t>Can I withdraw capital at any time?</w:t>
      </w:r>
    </w:p>
    <w:p>
      <w:pPr>
        <w:spacing w:after="140" w:line="283" w:lineRule="auto"/>
        <w:ind w:left="230"/>
      </w:pPr>
      <w:r>
        <w:rPr>
          <w:rFonts w:ascii="Aptos" w:hAnsi="Aptos"/>
          <w:color w:val="14233A"/>
          <w:sz w:val="21"/>
        </w:rPr>
        <w:t>Yes. You can request a withdrawal at any time. A 5% fee applies after the selected cycle ends; a 35% fee applies before the selected cycle ends. Withdrawal requests are typically processed in 1–3 business days, subject to applicable terms, account review, and request-specific details.</w:t>
      </w:r>
    </w:p>
    <w:p>
      <w:pPr>
        <w:spacing w:before="180" w:after="80"/>
      </w:pPr>
      <w:r>
        <w:rPr>
          <w:rFonts w:ascii="Aptos" w:hAnsi="Aptos"/>
          <w:b/>
          <w:color w:val="07111F"/>
          <w:sz w:val="23"/>
        </w:rPr>
        <w:t>Where can I get help with a funding or withdrawal issue?</w:t>
      </w:r>
    </w:p>
    <w:p>
      <w:pPr>
        <w:spacing w:after="140" w:line="283" w:lineRule="auto"/>
        <w:ind w:left="230"/>
      </w:pPr>
      <w:r>
        <w:rPr>
          <w:rFonts w:ascii="Aptos" w:hAnsi="Aptos"/>
          <w:color w:val="14233A"/>
          <w:sz w:val="21"/>
        </w:rPr>
        <w:t>Open Telegram and search for @arcfi_support_bot to begin the private customer-care path. You can also email clientscare@arc-fi.ai for additional customer care.</w:t>
      </w:r>
    </w:p>
    <w:p>
      <w:pPr>
        <w:spacing w:before="360" w:after="140"/>
      </w:pPr>
      <w:r>
        <w:rPr>
          <w:rFonts w:ascii="Aptos" w:hAnsi="Aptos"/>
          <w:b/>
          <w:color w:val="07111F"/>
          <w:sz w:val="38"/>
        </w:rPr>
        <w:t>Personal links and LeadArc</w:t>
      </w:r>
    </w:p>
    <w:p>
      <w:pPr>
        <w:spacing w:before="180" w:after="80"/>
      </w:pPr>
      <w:r>
        <w:rPr>
          <w:rFonts w:ascii="Aptos" w:hAnsi="Aptos"/>
          <w:b/>
          <w:color w:val="07111F"/>
          <w:sz w:val="23"/>
        </w:rPr>
        <w:t>What is LeadArc?</w:t>
      </w:r>
    </w:p>
    <w:p>
      <w:pPr>
        <w:spacing w:after="140" w:line="283" w:lineRule="auto"/>
        <w:ind w:left="230"/>
      </w:pPr>
      <w:r>
        <w:rPr>
          <w:rFonts w:ascii="Aptos" w:hAnsi="Aptos"/>
          <w:color w:val="14233A"/>
          <w:sz w:val="21"/>
        </w:rPr>
        <w:t>LeadArc is a separate software tool for creating personal referral links, managing attributed leads, and accessing marketing resources. LeadArc is not itself a commissionable product or a promise of income.</w:t>
      </w:r>
    </w:p>
    <w:p>
      <w:pPr>
        <w:spacing w:before="180" w:after="80"/>
      </w:pPr>
      <w:r>
        <w:rPr>
          <w:rFonts w:ascii="Aptos" w:hAnsi="Aptos"/>
          <w:b/>
          <w:color w:val="07111F"/>
          <w:sz w:val="23"/>
        </w:rPr>
        <w:t>What should I share?</w:t>
      </w:r>
    </w:p>
    <w:p>
      <w:pPr>
        <w:spacing w:after="140" w:line="283" w:lineRule="auto"/>
        <w:ind w:left="230"/>
      </w:pPr>
      <w:r>
        <w:rPr>
          <w:rFonts w:ascii="Aptos" w:hAnsi="Aptos"/>
          <w:color w:val="14233A"/>
          <w:sz w:val="21"/>
        </w:rPr>
        <w:t>Use your own saved personal referral link. Use factual, risk-aware information and never use generic channel links as a replacement for the person’s own referral link.</w:t>
      </w:r>
    </w:p>
    <w:p>
      <w:pPr>
        <w:spacing w:before="360" w:after="140"/>
      </w:pPr>
      <w:r>
        <w:rPr>
          <w:rFonts w:ascii="Aptos" w:hAnsi="Aptos"/>
          <w:b/>
          <w:color w:val="07111F"/>
          <w:sz w:val="38"/>
        </w:rPr>
        <w:t>Compound Calculator</w:t>
      </w:r>
    </w:p>
    <w:p>
      <w:pPr>
        <w:spacing w:before="180" w:after="80"/>
      </w:pPr>
      <w:r>
        <w:rPr>
          <w:rFonts w:ascii="Aptos" w:hAnsi="Aptos"/>
          <w:b/>
          <w:color w:val="07111F"/>
          <w:sz w:val="23"/>
        </w:rPr>
        <w:t>What does the Compound Calculator do?</w:t>
      </w:r>
    </w:p>
    <w:p>
      <w:pPr>
        <w:spacing w:after="140" w:line="283" w:lineRule="auto"/>
        <w:ind w:left="230"/>
      </w:pPr>
      <w:r>
        <w:rPr>
          <w:rFonts w:ascii="Aptos" w:hAnsi="Aptos"/>
          <w:color w:val="14233A"/>
          <w:sz w:val="21"/>
        </w:rPr>
        <w:t>It lets you explore period-by-period illustrative scenarios using inputs you choose, including a starting amount, an illustrative rate, a time frame, reinvestment, and optional deposits or withdrawals.</w:t>
      </w:r>
    </w:p>
    <w:p>
      <w:pPr>
        <w:spacing w:before="180" w:after="80"/>
      </w:pPr>
      <w:r>
        <w:rPr>
          <w:rFonts w:ascii="Aptos" w:hAnsi="Aptos"/>
          <w:b/>
          <w:color w:val="07111F"/>
          <w:sz w:val="23"/>
        </w:rPr>
        <w:t>Which frequencies are available?</w:t>
      </w:r>
    </w:p>
    <w:p>
      <w:pPr>
        <w:spacing w:after="140" w:line="283" w:lineRule="auto"/>
        <w:ind w:left="230"/>
      </w:pPr>
      <w:r>
        <w:rPr>
          <w:rFonts w:ascii="Aptos" w:hAnsi="Aptos"/>
          <w:color w:val="14233A"/>
          <w:sz w:val="21"/>
        </w:rPr>
        <w:t>The calculator supports daily, weekly, monthly, and annual compounding frequencies. It applies the rate input you choose to the selected illustrative period.</w:t>
      </w:r>
    </w:p>
    <w:p>
      <w:pPr>
        <w:spacing w:before="180" w:after="80"/>
      </w:pPr>
      <w:r>
        <w:rPr>
          <w:rFonts w:ascii="Aptos" w:hAnsi="Aptos"/>
          <w:b/>
          <w:color w:val="07111F"/>
          <w:sz w:val="23"/>
        </w:rPr>
        <w:t>Does the calculator predict results?</w:t>
      </w:r>
    </w:p>
    <w:p>
      <w:pPr>
        <w:spacing w:after="140" w:line="283" w:lineRule="auto"/>
        <w:ind w:left="230"/>
      </w:pPr>
      <w:r>
        <w:rPr>
          <w:rFonts w:ascii="Aptos" w:hAnsi="Aptos"/>
          <w:color w:val="14233A"/>
          <w:sz w:val="21"/>
        </w:rPr>
        <w:t>No. It is a planning tool only. It is not a forecast, fixed return, product result, or financial advice.</w:t>
      </w:r>
    </w:p>
    <w:p>
      <w:pPr>
        <w:spacing w:before="180" w:after="80"/>
      </w:pPr>
      <w:r>
        <w:rPr>
          <w:rFonts w:ascii="Aptos" w:hAnsi="Aptos"/>
          <w:b/>
          <w:color w:val="07111F"/>
          <w:sz w:val="23"/>
        </w:rPr>
        <w:t>What does the currency selector do?</w:t>
      </w:r>
    </w:p>
    <w:p>
      <w:pPr>
        <w:spacing w:after="140" w:line="283" w:lineRule="auto"/>
        <w:ind w:left="230"/>
      </w:pPr>
      <w:r>
        <w:rPr>
          <w:rFonts w:ascii="Aptos" w:hAnsi="Aptos"/>
          <w:color w:val="14233A"/>
          <w:sz w:val="21"/>
        </w:rPr>
        <w:t>It formats values in the selected display currency. It does not apply a foreign-exchange rate or convert any amount between currencies.</w:t>
      </w:r>
    </w:p>
    <w:p>
      <w:pPr>
        <w:spacing w:before="180" w:after="80"/>
      </w:pPr>
      <w:r>
        <w:rPr>
          <w:rFonts w:ascii="Aptos" w:hAnsi="Aptos"/>
          <w:b/>
          <w:color w:val="07111F"/>
          <w:sz w:val="23"/>
        </w:rPr>
        <w:t>Which languages are supported?</w:t>
      </w:r>
    </w:p>
    <w:p>
      <w:pPr>
        <w:spacing w:after="140" w:line="283" w:lineRule="auto"/>
        <w:ind w:left="230"/>
      </w:pPr>
      <w:r>
        <w:rPr>
          <w:rFonts w:ascii="Aptos" w:hAnsi="Aptos"/>
          <w:color w:val="14233A"/>
          <w:sz w:val="21"/>
        </w:rPr>
        <w:t>The public experience offers English, Spanish, French, German, Italian, Russian, Hindi, Assamese, and Vietnamese. Specific resources may vary by language.</w:t>
      </w:r>
    </w:p>
    <w:p>
      <w:pPr>
        <w:spacing w:before="360" w:after="140"/>
      </w:pPr>
      <w:r>
        <w:rPr>
          <w:rFonts w:ascii="Aptos" w:hAnsi="Aptos"/>
          <w:b/>
          <w:color w:val="07111F"/>
          <w:sz w:val="38"/>
        </w:rPr>
        <w:t>Support and security</w:t>
      </w:r>
    </w:p>
    <w:p>
      <w:pPr>
        <w:spacing w:before="180" w:after="80"/>
      </w:pPr>
      <w:r>
        <w:rPr>
          <w:rFonts w:ascii="Aptos" w:hAnsi="Aptos"/>
          <w:b/>
          <w:color w:val="07111F"/>
          <w:sz w:val="23"/>
        </w:rPr>
        <w:t>How do I contact support?</w:t>
      </w:r>
    </w:p>
    <w:p>
      <w:pPr>
        <w:spacing w:after="140" w:line="283" w:lineRule="auto"/>
        <w:ind w:left="230"/>
      </w:pPr>
      <w:r>
        <w:rPr>
          <w:rFonts w:ascii="Aptos" w:hAnsi="Aptos"/>
          <w:color w:val="14233A"/>
          <w:sz w:val="21"/>
        </w:rPr>
        <w:t>Open Telegram and search for @arcfi_support_bot to start the private support flow. For additional customer care, email clientscare@arc-fi.ai.</w:t>
      </w:r>
    </w:p>
    <w:p>
      <w:pPr>
        <w:spacing w:before="180" w:after="80"/>
      </w:pPr>
      <w:r>
        <w:rPr>
          <w:rFonts w:ascii="Aptos" w:hAnsi="Aptos"/>
          <w:b/>
          <w:color w:val="07111F"/>
          <w:sz w:val="23"/>
        </w:rPr>
        <w:t>How do I report a suspicious message or account?</w:t>
      </w:r>
    </w:p>
    <w:p>
      <w:pPr>
        <w:spacing w:after="140" w:line="283" w:lineRule="auto"/>
        <w:ind w:left="230"/>
      </w:pPr>
      <w:r>
        <w:rPr>
          <w:rFonts w:ascii="Aptos" w:hAnsi="Aptos"/>
          <w:color w:val="14233A"/>
          <w:sz w:val="21"/>
        </w:rPr>
        <w:t>Use @arcfiofficialbot and type /report. Do not share passwords, wallet keys, seed phrases, or other sensitive information with anyone claiming to be support.</w:t>
      </w:r>
    </w:p>
    <w:p>
      <w:pPr>
        <w:spacing w:before="360" w:after="140"/>
      </w:pPr>
      <w:r>
        <w:rPr>
          <w:rFonts w:ascii="Aptos" w:hAnsi="Aptos"/>
          <w:b/>
          <w:color w:val="07111F"/>
          <w:sz w:val="38"/>
        </w:rPr>
        <w:t>Important information</w:t>
      </w:r>
    </w:p>
    <w:p>
      <w:pPr>
        <w:spacing w:after="160" w:line="293" w:lineRule="auto"/>
      </w:pPr>
      <w:r>
        <w:rPr>
          <w:rFonts w:ascii="Aptos" w:hAnsi="Aptos"/>
          <w:color w:val="14233A"/>
          <w:sz w:val="21"/>
        </w:rPr>
        <w:t>Digital-asset trading involves risk, including possible loss of capital. Product availability, execution, timing, and outcomes can vary. Historical information and calculator scenarios are illustrative and are not forecasts, guarantees, or financial advice.</w:t>
      </w:r>
    </w:p>
    <w:p>
      <w:pPr>
        <w:spacing w:before="360" w:after="140"/>
      </w:pPr>
      <w:r>
        <w:rPr>
          <w:rFonts w:ascii="Aptos" w:hAnsi="Aptos"/>
          <w:b/>
          <w:color w:val="07111F"/>
          <w:sz w:val="38"/>
        </w:rPr>
        <w:t>Official links</w:t>
      </w:r>
    </w:p>
    <w:p>
      <w:pPr>
        <w:spacing w:after="80"/>
      </w:pPr>
      <w:r>
        <w:rPr>
          <w:rFonts w:ascii="Aptos" w:hAnsi="Aptos"/>
          <w:b/>
          <w:color w:val="07111F"/>
          <w:sz w:val="21"/>
        </w:rPr>
        <w:t xml:space="preserve">Overview: </w:t>
      </w:r>
      <w:r>
        <w:rPr>
          <w:rFonts w:ascii="Aptos" w:hAnsi="Aptos"/>
          <w:color w:val="007E9C"/>
          <w:sz w:val="21"/>
        </w:rPr>
        <w:t>https://arctrade.io/overview</w:t>
      </w:r>
    </w:p>
    <w:p>
      <w:pPr>
        <w:spacing w:after="80"/>
      </w:pPr>
      <w:r>
        <w:rPr>
          <w:rFonts w:ascii="Aptos" w:hAnsi="Aptos"/>
          <w:b/>
          <w:color w:val="07111F"/>
          <w:sz w:val="21"/>
        </w:rPr>
        <w:t xml:space="preserve">Performance context: </w:t>
      </w:r>
      <w:r>
        <w:rPr>
          <w:rFonts w:ascii="Aptos" w:hAnsi="Aptos"/>
          <w:color w:val="007E9C"/>
          <w:sz w:val="21"/>
        </w:rPr>
        <w:t>https://arctrade.io/performance</w:t>
      </w:r>
    </w:p>
    <w:p>
      <w:pPr>
        <w:spacing w:after="80"/>
      </w:pPr>
      <w:r>
        <w:rPr>
          <w:rFonts w:ascii="Aptos" w:hAnsi="Aptos"/>
          <w:b/>
          <w:color w:val="07111F"/>
          <w:sz w:val="21"/>
        </w:rPr>
        <w:t xml:space="preserve">Compound Calculator: </w:t>
      </w:r>
      <w:r>
        <w:rPr>
          <w:rFonts w:ascii="Aptos" w:hAnsi="Aptos"/>
          <w:color w:val="007E9C"/>
          <w:sz w:val="21"/>
        </w:rPr>
        <w:t>https://arctrade.io/calculator?mode=daily-compound</w:t>
      </w:r>
    </w:p>
    <w:p>
      <w:pPr>
        <w:spacing w:after="80"/>
      </w:pPr>
      <w:r>
        <w:rPr>
          <w:rFonts w:ascii="Aptos" w:hAnsi="Aptos"/>
          <w:b/>
          <w:color w:val="07111F"/>
          <w:sz w:val="21"/>
        </w:rPr>
        <w:t xml:space="preserve">Telegram Support Bot: </w:t>
      </w:r>
      <w:r>
        <w:rPr>
          <w:rFonts w:ascii="Aptos" w:hAnsi="Aptos"/>
          <w:color w:val="007E9C"/>
          <w:sz w:val="21"/>
        </w:rPr>
        <w:t>Search @arcfi_support_bot in Telegram</w:t>
      </w:r>
    </w:p>
    <w:p>
      <w:pPr>
        <w:spacing w:after="80"/>
      </w:pPr>
      <w:r>
        <w:rPr>
          <w:rFonts w:ascii="Aptos" w:hAnsi="Aptos"/>
          <w:b/>
          <w:color w:val="07111F"/>
          <w:sz w:val="21"/>
        </w:rPr>
        <w:t xml:space="preserve">Customer care: </w:t>
      </w:r>
      <w:r>
        <w:rPr>
          <w:rFonts w:ascii="Aptos" w:hAnsi="Aptos"/>
          <w:color w:val="007E9C"/>
          <w:sz w:val="21"/>
        </w:rPr>
        <w:t>clientscare@arc-fi.ai</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2637A"/>
        <w:sz w:val="17"/>
      </w:rPr>
      <w:t>Arc-Fi &amp; LeadArc Verified FAQ  |  For informational use only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2637A"/>
        <w:sz w:val="17"/>
      </w:rPr>
      <w:t>ARC-FI  |  VERIFIED FAQ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